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E0FD" w14:textId="77777777" w:rsidR="00783A4A" w:rsidRDefault="00000000">
      <w:pPr>
        <w:spacing w:after="0" w:line="360" w:lineRule="auto"/>
        <w:jc w:val="both"/>
      </w:pPr>
      <w:r>
        <w:rPr>
          <w:rStyle w:val="articletext1"/>
          <w:rFonts w:ascii="Times New Roman" w:hAnsi="Times New Roman"/>
          <w:sz w:val="28"/>
          <w:szCs w:val="28"/>
        </w:rPr>
        <w:t xml:space="preserve">Verstopfung in der Schwangerschaft – Kohlensäure Zäpfchen helfen schnell, sanft und sicher! </w:t>
      </w:r>
    </w:p>
    <w:p w14:paraId="30C53AE7" w14:textId="4E2911E3" w:rsidR="00783A4A" w:rsidRDefault="00000000">
      <w:pPr>
        <w:spacing w:after="0" w:line="360" w:lineRule="auto"/>
        <w:jc w:val="both"/>
      </w:pPr>
      <w:r>
        <w:rPr>
          <w:rStyle w:val="articletext1"/>
          <w:rFonts w:ascii="Times New Roman" w:hAnsi="Times New Roman"/>
        </w:rPr>
        <w:t xml:space="preserve">Verstopfung in allen Phasen der Schwangerschaft ist nicht selten. Nahezu jede zweite Schwangere leidet oft oder zeitweise unter einer Darmträgheit. Schon in der Frühschwang-erschaft kann eine Verstopfung auftreten. Verantwortlich dafür ist die vermehrte Bildung des Hormons Progesteron in der Plazenta. Progesteron dämpft die Darmperistaltik, d.h. die Nahrung benötigt länger, um den Darm zu durchlaufen und es kann zu einer Verstopfung kommen. Besonders im letzten Drittel der Schwangerschaft tritt eine Verstopfung häufiger auf, da der Platz für den Darm zunehmend enger wird. Nicht nur die sich ausdehnende Gebärmutter drückt auf den Darm, auch das zunehmend größer werdende Kind beansprucht seinen Platz. Der Darm kann sich nicht mehr wie gewohnt ausdehnen, Verstopfung kann die Folge sein. Weitere Faktoren, die zu einer eingeschränkte Darmbeweglichkeit bei Schwangeren beitragen können, sind: Bewegungsmangel durch verminderte Beweglichkeit, zu geringe Flüssigkeits-aufnahme, die Einnahme von Eisenpräparaten, die Änderung von Ernährungsgewohnheiten, aber auch Stress und Ängste der werdenden Mutter. Sollten erste Maßnahmen gegen eine Verstopfung wie moderate Bewegung, ausreichendes Trinken und leichtes, aber ballaststoffreiches Essen nicht fruchten, fragen Sie Ihre Frauenärztin/Ihren Frauenarzt oder die Hebamme nach sanften Abführmitteln, die in der Schwangerschaft bedenkenlos eingesetzt werden dürfen. Besonders geeignet sind Kohlensäure Abführzäpfchen. Dieses Präparat mit dem Namen </w:t>
      </w:r>
      <w:r>
        <w:rPr>
          <w:rFonts w:ascii="Times New Roman" w:hAnsi="Times New Roman"/>
          <w:sz w:val="24"/>
          <w:szCs w:val="24"/>
        </w:rPr>
        <w:t>Lecicarbon</w:t>
      </w:r>
      <w:r>
        <w:rPr>
          <w:rFonts w:ascii="Times New Roman" w:hAnsi="Times New Roman"/>
          <w:position w:val="6"/>
          <w:sz w:val="24"/>
          <w:szCs w:val="24"/>
        </w:rPr>
        <w:t>®</w:t>
      </w:r>
      <w:r>
        <w:rPr>
          <w:rStyle w:val="articletext1"/>
          <w:rFonts w:ascii="Times New Roman" w:hAnsi="Times New Roman"/>
        </w:rPr>
        <w:t xml:space="preserve"> basiert auf einem ebenso genialen wie einfachen, seit über 90 Jahren bekanntem und bewährtem Wirkprinzip.  Mit den Zäpfchen werden geringe Mengen von Kohlendioxid, umgangssprachlich auch Kohlensäure genannt,</w:t>
      </w:r>
      <w:r>
        <w:rPr>
          <w:rFonts w:ascii="Times New Roman" w:hAnsi="Times New Roman"/>
          <w:sz w:val="24"/>
          <w:szCs w:val="24"/>
        </w:rPr>
        <w:t xml:space="preserve"> in den Enddarm eingebracht. Die entstehenden feinperligen Mikrobläschen massieren sanft die Darmmusku-latur von innen und reaktivieren so die normalen Darmreflexe. Die Darmperistaltik wird aktiviert und der Entleerungsreflex im Enddarm nach 15-30 Minuten ausgelöst. So  können Lecicarbon</w:t>
      </w:r>
      <w:r>
        <w:rPr>
          <w:rFonts w:ascii="Times New Roman" w:hAnsi="Times New Roman"/>
          <w:position w:val="6"/>
          <w:sz w:val="24"/>
          <w:szCs w:val="24"/>
        </w:rPr>
        <w:t xml:space="preserve">® </w:t>
      </w:r>
      <w:r>
        <w:rPr>
          <w:rFonts w:ascii="Times New Roman" w:hAnsi="Times New Roman"/>
          <w:sz w:val="24"/>
          <w:szCs w:val="24"/>
        </w:rPr>
        <w:t xml:space="preserve">Kohlensäure Zäpfchen schnell und kalkulierbar die Verstopfung lösen. Sie helfen ohne Nebenwirkungen, weil  Kohlendioxid ohnehin im Darm für den Entleerungsreflex mit verantwortlich ist. Sie wirken schonend, weil sie direkt am Ort des Geschehens ansetzen, ohne den Körper und das Kreislaufsystem zu belasten und sie führen nicht zur Gewöhnung, weil die normalen Darmreflexe reaktiviert werden: Der Darm hilft sich selbst! Gemäß der S2k-Leitlinie „Chronische Obstipation [1] werden Lecicarbon® Abführzäpfchen nach entsprechender Nutzen-/Risikoabwägung durch die behandelnde Ärztin/den behandelnden Arzt als rektale Entleerungshilfe für eine Anwendung in der Schwangerschaft empfohlen. Leitlinien sind übrigens Empfehlungen vor allem an Ärztinnen und Ärzte, wie eine Erkrankung erkannt und </w:t>
      </w:r>
      <w:r>
        <w:rPr>
          <w:rFonts w:ascii="Times New Roman" w:hAnsi="Times New Roman"/>
          <w:sz w:val="24"/>
          <w:szCs w:val="24"/>
        </w:rPr>
        <w:lastRenderedPageBreak/>
        <w:t xml:space="preserve">behandelt werden sollte. Leitlinien werden von einer Kommission aus Fachleuten erarbeitet, die das Wissen zu einer Erkrankung sammelt, bewertet und daraus als Konsens Leitlinien  zu den Diagnose- und Therapiemöglichkeiten entwickelt. Weitere Informationen unter </w:t>
      </w:r>
      <w:hyperlink r:id="rId5" w:tgtFrame="_top">
        <w:r>
          <w:rPr>
            <w:rStyle w:val="Internetverknpfung"/>
            <w:rFonts w:ascii="Times New Roman" w:hAnsi="Times New Roman"/>
            <w:sz w:val="24"/>
            <w:szCs w:val="24"/>
          </w:rPr>
          <w:t>www.schwangerschaftundverstopfung.de</w:t>
        </w:r>
      </w:hyperlink>
      <w:r>
        <w:rPr>
          <w:rFonts w:ascii="Times New Roman" w:hAnsi="Times New Roman"/>
          <w:sz w:val="24"/>
          <w:szCs w:val="24"/>
        </w:rPr>
        <w:t xml:space="preserve"> bzw. </w:t>
      </w:r>
      <w:hyperlink r:id="rId6" w:tgtFrame="_top">
        <w:r>
          <w:rPr>
            <w:rStyle w:val="Internetverknpfung"/>
            <w:rFonts w:ascii="Times New Roman" w:hAnsi="Times New Roman"/>
            <w:sz w:val="24"/>
            <w:szCs w:val="24"/>
          </w:rPr>
          <w:t>www.lecicarbon.de</w:t>
        </w:r>
      </w:hyperlink>
    </w:p>
    <w:p w14:paraId="19718676" w14:textId="77777777" w:rsidR="00783A4A" w:rsidRDefault="00783A4A">
      <w:pPr>
        <w:spacing w:after="0" w:line="360" w:lineRule="auto"/>
        <w:jc w:val="both"/>
        <w:rPr>
          <w:rFonts w:ascii="Arial" w:hAnsi="Arial" w:cs="Arial"/>
          <w:color w:val="444444"/>
          <w:sz w:val="20"/>
          <w:szCs w:val="20"/>
        </w:rPr>
      </w:pPr>
    </w:p>
    <w:p w14:paraId="33402ED7" w14:textId="77777777" w:rsidR="00783A4A" w:rsidRDefault="00000000">
      <w:pPr>
        <w:spacing w:after="0" w:line="360" w:lineRule="auto"/>
        <w:jc w:val="both"/>
      </w:pPr>
      <w:r>
        <w:rPr>
          <w:rFonts w:ascii="Times New Roman" w:hAnsi="Times New Roman"/>
          <w:color w:val="444444"/>
          <w:sz w:val="20"/>
          <w:szCs w:val="20"/>
        </w:rPr>
        <w:t>[1]  Empfehlung 7-6 a; Aktualisierte S2k-Leitlinie chronische Obstipation der Deutschen Gesellschaft für Gastroenterologie, Verdauungs- und Stoffwechselkrankheiten (DGVS) und der Deutsche Gesellschaft für Neurogastroenterologie &amp; Motilität (DGNM), April 2022 – AWMF-Registriernummer: 021-019</w:t>
      </w:r>
    </w:p>
    <w:p w14:paraId="4051BD01" w14:textId="77777777" w:rsidR="00783A4A" w:rsidRDefault="00783A4A">
      <w:pPr>
        <w:spacing w:after="0" w:line="360" w:lineRule="auto"/>
        <w:jc w:val="both"/>
        <w:rPr>
          <w:rFonts w:ascii="Times New Roman" w:hAnsi="Times New Roman"/>
          <w:color w:val="000000"/>
          <w:sz w:val="24"/>
          <w:szCs w:val="24"/>
        </w:rPr>
      </w:pPr>
    </w:p>
    <w:p w14:paraId="1ACCB378" w14:textId="77777777" w:rsidR="00783A4A" w:rsidRDefault="00000000">
      <w:pPr>
        <w:spacing w:after="0" w:line="360" w:lineRule="auto"/>
        <w:rPr>
          <w:rFonts w:ascii="Times New Roman" w:hAnsi="Times New Roman"/>
          <w:b/>
          <w:bCs/>
          <w:sz w:val="24"/>
          <w:szCs w:val="24"/>
        </w:rPr>
      </w:pPr>
      <w:r>
        <w:rPr>
          <w:rFonts w:ascii="Times New Roman" w:hAnsi="Times New Roman"/>
          <w:b/>
          <w:bCs/>
          <w:sz w:val="24"/>
          <w:szCs w:val="24"/>
        </w:rPr>
        <w:t>Pflichtinformationen</w:t>
      </w:r>
    </w:p>
    <w:p w14:paraId="3A0DCFD8" w14:textId="77777777" w:rsidR="00783A4A" w:rsidRDefault="00000000">
      <w:pPr>
        <w:spacing w:after="0" w:line="240" w:lineRule="auto"/>
        <w:rPr>
          <w:rFonts w:ascii="Times New Roman" w:hAnsi="Times New Roman"/>
          <w:b/>
          <w:bCs/>
        </w:rPr>
      </w:pPr>
      <w:r>
        <w:rPr>
          <w:rFonts w:ascii="Times New Roman" w:hAnsi="Times New Roman"/>
          <w:b/>
          <w:bCs/>
        </w:rPr>
        <w:t>Laienwerbung</w:t>
      </w:r>
    </w:p>
    <w:p w14:paraId="3EEB75B9" w14:textId="77777777" w:rsidR="00783A4A" w:rsidRDefault="00000000">
      <w:pPr>
        <w:spacing w:after="0" w:line="240" w:lineRule="auto"/>
        <w:rPr>
          <w:rFonts w:ascii="Times New Roman" w:hAnsi="Times New Roman"/>
        </w:rPr>
      </w:pPr>
      <w:r>
        <w:rPr>
          <w:rFonts w:ascii="Times New Roman" w:hAnsi="Times New Roman"/>
        </w:rPr>
        <w:t>Lecicarbon® E/K/S CO2 - Laxans</w:t>
      </w:r>
    </w:p>
    <w:p w14:paraId="6A101564" w14:textId="77777777" w:rsidR="00783A4A" w:rsidRDefault="00000000">
      <w:pPr>
        <w:spacing w:after="0" w:line="240" w:lineRule="auto"/>
        <w:rPr>
          <w:rFonts w:ascii="Times New Roman" w:hAnsi="Times New Roman"/>
        </w:rPr>
      </w:pPr>
      <w:r>
        <w:rPr>
          <w:rFonts w:ascii="Times New Roman" w:hAnsi="Times New Roman"/>
        </w:rPr>
        <w:t>Anwendungsgebiete: Zur kurzfristigen Anwendung bei verschiedenen Ursachen der Stuhlverstopfung, z.B. bei schlackenarmer Kost oder mangelnder Bewegung sowie bei Erkrankungen, die eine erleichterte Stuhlentleerung erfordern. Zur Darmentleerung bei diagnostischen oder therapeutischen Maßnahmen im Enddarmbereich. Kann auch zusätzlich angewendet werden, wenn vorher andere Abführmittel erfolglos genommen wurden. Enthält (3-sn-Phosphatidyl)cholin (Sojalecithin). Packungsbeilage beachten.</w:t>
      </w:r>
    </w:p>
    <w:p w14:paraId="06119FB5" w14:textId="77777777" w:rsidR="00783A4A" w:rsidRDefault="00000000">
      <w:pPr>
        <w:spacing w:after="0" w:line="240" w:lineRule="auto"/>
        <w:rPr>
          <w:rFonts w:ascii="Times New Roman" w:hAnsi="Times New Roman"/>
        </w:rPr>
      </w:pPr>
      <w:r>
        <w:rPr>
          <w:rFonts w:ascii="Times New Roman" w:hAnsi="Times New Roman"/>
        </w:rPr>
        <w:t>Zu Risiken und Nebenwirkungen lesen Sie die Packungsbeilage und fragen Sie Ihre Ärztin, Ihren Arzt oder in Ihrer Apotheke</w:t>
      </w:r>
    </w:p>
    <w:p w14:paraId="6D289853" w14:textId="77777777" w:rsidR="00783A4A" w:rsidRDefault="00000000">
      <w:pPr>
        <w:spacing w:after="0" w:line="240" w:lineRule="auto"/>
        <w:rPr>
          <w:rFonts w:ascii="Times New Roman" w:hAnsi="Times New Roman"/>
        </w:rPr>
      </w:pPr>
      <w:r>
        <w:rPr>
          <w:rFonts w:ascii="Times New Roman" w:hAnsi="Times New Roman"/>
        </w:rPr>
        <w:t>athenstaedt, D - 35088 Battenberg (Eder), CH Brunnen</w:t>
      </w:r>
      <w:r>
        <w:rPr>
          <w:rFonts w:ascii="Times New Roman" w:hAnsi="Times New Roman"/>
        </w:rPr>
        <w:br/>
      </w:r>
    </w:p>
    <w:p w14:paraId="4968A37C" w14:textId="77777777" w:rsidR="00783A4A" w:rsidRDefault="00000000">
      <w:pPr>
        <w:spacing w:after="0" w:line="240" w:lineRule="auto"/>
        <w:rPr>
          <w:rFonts w:ascii="Times New Roman" w:hAnsi="Times New Roman"/>
          <w:b/>
          <w:bCs/>
        </w:rPr>
      </w:pPr>
      <w:r>
        <w:rPr>
          <w:rFonts w:ascii="Times New Roman" w:hAnsi="Times New Roman"/>
          <w:b/>
          <w:bCs/>
        </w:rPr>
        <w:t>Fachkreise</w:t>
      </w:r>
    </w:p>
    <w:p w14:paraId="4E54A549" w14:textId="77777777" w:rsidR="00783A4A" w:rsidRDefault="00000000">
      <w:pPr>
        <w:spacing w:after="0" w:line="240" w:lineRule="auto"/>
        <w:rPr>
          <w:rFonts w:ascii="Times New Roman" w:hAnsi="Times New Roman"/>
        </w:rPr>
      </w:pPr>
      <w:r>
        <w:rPr>
          <w:rFonts w:ascii="Times New Roman" w:hAnsi="Times New Roman"/>
        </w:rPr>
        <w:t>Lecicarbon® E/K/S CO2 - Laxans</w:t>
      </w:r>
    </w:p>
    <w:p w14:paraId="2055C82C" w14:textId="77777777" w:rsidR="00783A4A" w:rsidRDefault="00000000">
      <w:pPr>
        <w:spacing w:after="0" w:line="240" w:lineRule="auto"/>
        <w:rPr>
          <w:rFonts w:ascii="Times New Roman" w:hAnsi="Times New Roman"/>
        </w:rPr>
      </w:pPr>
      <w:r>
        <w:rPr>
          <w:rFonts w:ascii="Times New Roman" w:hAnsi="Times New Roman"/>
        </w:rPr>
        <w:t>Zusammensetzung: Arzneilich wirksame Bestandteile: Natriumhydrogencarbonat 500 mg / 250 mg / 125 mg, Natriumdihydrogenphosphat 680 mg / 340 mg / 170 mg Sonst. Bestandteile: Hartfett, (3-sn-Phosphatidyl)cholin (aus Sojabohnen), hochdisperses Siliciumdioxid. Anwendungsgebiete: Zur kurzfristigen Anwendung bei verschiedenen Ursachen der Obstipation, z.B. bei schlackenarmer Kost oder mangelnder Bewegung sowie bei Erkrankungen, die eine erleichterte Defäkation erfordern. Zur Darmentleerung bei diagnostischen oder therapeutischen Maßnahmen im Enddarmbereich. Lecicarbon® kann auch zusätzlich angewendet werden, wenn vorher andere Abführmittel erfolglos genommen wurden. Gegenanzeigen: Das Arzneimittel darf nicht angewendet werden bei Darmverschluss (Ileus) und bei Megakolon (krankhafte Enddarmerweiterungen aus unterschiedlichen Ursachen); insbesondere bei Kindern und Säuglingen für alle Erkrankungen im Anal- und Rektalbereich, bei denen die Gefahr des übermäßigen Übertritts von Kohlendioxid in die Blutbahn besteht; bei Überempfindlichkeit gegenüber Soja, Erdnuss oder einem der sonstigen Bestandteile von Lecicarbon® CO2-Laxans. Lecicarbon® CO2-Laxans darf in der Schwangerschaft nach Rücksprache mit dem Arzt und in der Stillzeit angewendet werden. Nebenwirkungen: (3-sn-Phosphatidyl)cholin (Sojalecithin) kann sehr selten allergische Reaktionen hervorrufen. Hinweis: In seltenen Fällen kann das Einführen des Zäpfchens ein leichtes, schnell abklingendes Brennen verursachen. Enthält (3-sn-Phosphatidyl)cholin (Sojalecithin). Packungsbeilage beachten.</w:t>
      </w:r>
    </w:p>
    <w:p w14:paraId="15ED13FB" w14:textId="77777777" w:rsidR="00783A4A" w:rsidRDefault="00000000">
      <w:pPr>
        <w:spacing w:after="0" w:line="240" w:lineRule="auto"/>
        <w:rPr>
          <w:rFonts w:ascii="Times New Roman" w:hAnsi="Times New Roman"/>
        </w:rPr>
      </w:pPr>
      <w:r>
        <w:rPr>
          <w:rFonts w:ascii="Times New Roman" w:hAnsi="Times New Roman"/>
        </w:rPr>
        <w:t>athenstaedt, D - 35088 Battenberg (Eder), CH Brunnen</w:t>
      </w:r>
    </w:p>
    <w:p w14:paraId="43244F69" w14:textId="77777777" w:rsidR="00783A4A" w:rsidRDefault="00000000">
      <w:pPr>
        <w:spacing w:after="0" w:line="240" w:lineRule="auto"/>
        <w:rPr>
          <w:rFonts w:ascii="Times New Roman" w:hAnsi="Times New Roman"/>
        </w:rPr>
      </w:pPr>
      <w:r>
        <w:rPr>
          <w:rFonts w:ascii="Times New Roman" w:hAnsi="Times New Roman"/>
        </w:rPr>
        <w:t>www.lecicarbon.de</w:t>
      </w:r>
    </w:p>
    <w:p w14:paraId="63075711" w14:textId="77777777" w:rsidR="00783A4A" w:rsidRDefault="00783A4A">
      <w:pPr>
        <w:spacing w:after="0" w:line="240" w:lineRule="auto"/>
        <w:rPr>
          <w:rFonts w:ascii="Times New Roman" w:hAnsi="Times New Roman"/>
        </w:rPr>
      </w:pPr>
    </w:p>
    <w:p w14:paraId="2BA424E8" w14:textId="77777777" w:rsidR="00783A4A" w:rsidRDefault="00000000">
      <w:pPr>
        <w:spacing w:after="0" w:line="240" w:lineRule="auto"/>
        <w:rPr>
          <w:rFonts w:ascii="Times New Roman" w:hAnsi="Times New Roman"/>
        </w:rPr>
      </w:pPr>
      <w:r>
        <w:rPr>
          <w:rFonts w:ascii="Times New Roman" w:hAnsi="Times New Roman"/>
        </w:rPr>
        <w:t>Pressekontakt athenstaedt GmbH &amp; Co KG</w:t>
      </w:r>
    </w:p>
    <w:p w14:paraId="034271CF" w14:textId="02F16E6C" w:rsidR="00783A4A" w:rsidRDefault="00000000" w:rsidP="00C02DEF">
      <w:pPr>
        <w:spacing w:after="0" w:line="240" w:lineRule="auto"/>
      </w:pPr>
      <w:r>
        <w:rPr>
          <w:rFonts w:ascii="Times New Roman" w:hAnsi="Times New Roman"/>
        </w:rPr>
        <w:t>Dr. Wolfgang Meyer-Meisner</w:t>
      </w:r>
      <w:r>
        <w:rPr>
          <w:rFonts w:ascii="Times New Roman" w:hAnsi="Times New Roman"/>
        </w:rPr>
        <w:br/>
        <w:t>Am Beerberg 1</w:t>
      </w:r>
      <w:r>
        <w:rPr>
          <w:rFonts w:ascii="Times New Roman" w:hAnsi="Times New Roman"/>
        </w:rPr>
        <w:br/>
        <w:t>D - 35088 Battenberg (Eder)</w:t>
      </w:r>
      <w:r>
        <w:rPr>
          <w:rFonts w:ascii="Times New Roman" w:hAnsi="Times New Roman"/>
          <w:sz w:val="24"/>
          <w:szCs w:val="24"/>
        </w:rPr>
        <w:br/>
        <w:t>Tel.  +49 6452 92 942-0</w:t>
      </w:r>
      <w:r>
        <w:rPr>
          <w:rFonts w:ascii="Times New Roman" w:hAnsi="Times New Roman"/>
          <w:sz w:val="24"/>
          <w:szCs w:val="24"/>
        </w:rPr>
        <w:br/>
        <w:t>Fax. +49 6452 92 942-1</w:t>
      </w:r>
      <w:r w:rsidR="00C02DEF">
        <w:rPr>
          <w:rFonts w:ascii="Times New Roman" w:hAnsi="Times New Roman"/>
          <w:sz w:val="24"/>
          <w:szCs w:val="24"/>
        </w:rPr>
        <w:t>5</w:t>
      </w:r>
    </w:p>
    <w:sectPr w:rsidR="00783A4A">
      <w:pgSz w:w="11906" w:h="16838"/>
      <w:pgMar w:top="1417" w:right="1417" w:bottom="1134" w:left="1417"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88D"/>
    <w:multiLevelType w:val="multilevel"/>
    <w:tmpl w:val="B94AF23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16cid:durableId="152497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4A"/>
    <w:rsid w:val="00783A4A"/>
    <w:rsid w:val="00AC3D17"/>
    <w:rsid w:val="00C02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02A0"/>
  <w15:docId w15:val="{2E7EB3C6-DE73-4AC8-B4CA-359D1436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2"/>
        <w:sz w:val="22"/>
        <w:szCs w:val="22"/>
        <w:lang w:val="de-DE"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kern w:val="0"/>
    </w:rPr>
  </w:style>
  <w:style w:type="paragraph" w:styleId="berschrift1">
    <w:name w:val="heading 1"/>
    <w:basedOn w:val="Standard"/>
    <w:next w:val="Standard"/>
    <w:uiPriority w:val="9"/>
    <w:qFormat/>
    <w:pPr>
      <w:keepNext/>
      <w:keepLines/>
      <w:numPr>
        <w:numId w:val="1"/>
      </w:numPr>
      <w:spacing w:before="360" w:after="80" w:line="256" w:lineRule="auto"/>
      <w:outlineLvl w:val="0"/>
    </w:pPr>
    <w:rPr>
      <w:rFonts w:ascii="Aptos Display" w:eastAsia="Times New Roman" w:hAnsi="Aptos Display"/>
      <w:color w:val="0F4761"/>
      <w:kern w:val="2"/>
      <w:sz w:val="40"/>
      <w:szCs w:val="40"/>
    </w:rPr>
  </w:style>
  <w:style w:type="paragraph" w:styleId="berschrift2">
    <w:name w:val="heading 2"/>
    <w:basedOn w:val="Standard"/>
    <w:next w:val="Standard"/>
    <w:uiPriority w:val="9"/>
    <w:semiHidden/>
    <w:unhideWhenUsed/>
    <w:qFormat/>
    <w:pPr>
      <w:keepNext/>
      <w:keepLines/>
      <w:numPr>
        <w:ilvl w:val="1"/>
        <w:numId w:val="1"/>
      </w:numPr>
      <w:spacing w:before="160" w:after="80" w:line="256" w:lineRule="auto"/>
      <w:outlineLvl w:val="1"/>
    </w:pPr>
    <w:rPr>
      <w:rFonts w:ascii="Aptos Display" w:eastAsia="Times New Roman" w:hAnsi="Aptos Display"/>
      <w:color w:val="0F4761"/>
      <w:kern w:val="2"/>
      <w:sz w:val="32"/>
      <w:szCs w:val="32"/>
    </w:rPr>
  </w:style>
  <w:style w:type="paragraph" w:styleId="berschrift3">
    <w:name w:val="heading 3"/>
    <w:basedOn w:val="Standard"/>
    <w:next w:val="Standard"/>
    <w:uiPriority w:val="9"/>
    <w:semiHidden/>
    <w:unhideWhenUsed/>
    <w:qFormat/>
    <w:pPr>
      <w:keepNext/>
      <w:keepLines/>
      <w:numPr>
        <w:ilvl w:val="2"/>
        <w:numId w:val="1"/>
      </w:numPr>
      <w:spacing w:before="160" w:after="80" w:line="256" w:lineRule="auto"/>
      <w:outlineLvl w:val="2"/>
    </w:pPr>
    <w:rPr>
      <w:rFonts w:eastAsia="Times New Roman"/>
      <w:color w:val="0F4761"/>
      <w:kern w:val="2"/>
      <w:sz w:val="28"/>
      <w:szCs w:val="28"/>
    </w:rPr>
  </w:style>
  <w:style w:type="paragraph" w:styleId="berschrift4">
    <w:name w:val="heading 4"/>
    <w:basedOn w:val="Standard"/>
    <w:next w:val="Standard"/>
    <w:uiPriority w:val="9"/>
    <w:semiHidden/>
    <w:unhideWhenUsed/>
    <w:qFormat/>
    <w:pPr>
      <w:keepNext/>
      <w:keepLines/>
      <w:numPr>
        <w:ilvl w:val="3"/>
        <w:numId w:val="1"/>
      </w:numPr>
      <w:spacing w:before="80" w:after="40" w:line="256" w:lineRule="auto"/>
      <w:outlineLvl w:val="3"/>
    </w:pPr>
    <w:rPr>
      <w:rFonts w:eastAsia="Times New Roman"/>
      <w:i/>
      <w:iCs/>
      <w:color w:val="0F4761"/>
      <w:kern w:val="2"/>
    </w:rPr>
  </w:style>
  <w:style w:type="paragraph" w:styleId="berschrift5">
    <w:name w:val="heading 5"/>
    <w:basedOn w:val="Standard"/>
    <w:next w:val="Standard"/>
    <w:uiPriority w:val="9"/>
    <w:semiHidden/>
    <w:unhideWhenUsed/>
    <w:qFormat/>
    <w:pPr>
      <w:keepNext/>
      <w:keepLines/>
      <w:numPr>
        <w:ilvl w:val="4"/>
        <w:numId w:val="1"/>
      </w:numPr>
      <w:spacing w:before="80" w:after="40" w:line="256" w:lineRule="auto"/>
      <w:outlineLvl w:val="4"/>
    </w:pPr>
    <w:rPr>
      <w:rFonts w:eastAsia="Times New Roman"/>
      <w:color w:val="0F4761"/>
      <w:kern w:val="2"/>
    </w:rPr>
  </w:style>
  <w:style w:type="paragraph" w:styleId="berschrift6">
    <w:name w:val="heading 6"/>
    <w:basedOn w:val="Standard"/>
    <w:next w:val="Standard"/>
    <w:uiPriority w:val="9"/>
    <w:semiHidden/>
    <w:unhideWhenUsed/>
    <w:qFormat/>
    <w:pPr>
      <w:keepNext/>
      <w:keepLines/>
      <w:numPr>
        <w:ilvl w:val="5"/>
        <w:numId w:val="1"/>
      </w:numPr>
      <w:spacing w:before="40" w:after="0" w:line="256" w:lineRule="auto"/>
      <w:outlineLvl w:val="5"/>
    </w:pPr>
    <w:rPr>
      <w:rFonts w:eastAsia="Times New Roman"/>
      <w:i/>
      <w:iCs/>
      <w:color w:val="595959"/>
      <w:kern w:val="2"/>
    </w:rPr>
  </w:style>
  <w:style w:type="paragraph" w:styleId="berschrift7">
    <w:name w:val="heading 7"/>
    <w:basedOn w:val="Standard"/>
    <w:next w:val="Standard"/>
    <w:qFormat/>
    <w:pPr>
      <w:keepNext/>
      <w:keepLines/>
      <w:numPr>
        <w:ilvl w:val="6"/>
        <w:numId w:val="1"/>
      </w:numPr>
      <w:spacing w:before="40" w:after="0" w:line="256" w:lineRule="auto"/>
      <w:outlineLvl w:val="6"/>
    </w:pPr>
    <w:rPr>
      <w:rFonts w:eastAsia="Times New Roman"/>
      <w:color w:val="595959"/>
      <w:kern w:val="2"/>
    </w:rPr>
  </w:style>
  <w:style w:type="paragraph" w:styleId="berschrift8">
    <w:name w:val="heading 8"/>
    <w:basedOn w:val="Standard"/>
    <w:next w:val="Standard"/>
    <w:qFormat/>
    <w:pPr>
      <w:keepNext/>
      <w:keepLines/>
      <w:numPr>
        <w:ilvl w:val="7"/>
        <w:numId w:val="1"/>
      </w:numPr>
      <w:spacing w:after="0" w:line="256" w:lineRule="auto"/>
      <w:outlineLvl w:val="7"/>
    </w:pPr>
    <w:rPr>
      <w:rFonts w:eastAsia="Times New Roman"/>
      <w:i/>
      <w:iCs/>
      <w:color w:val="272727"/>
      <w:kern w:val="2"/>
    </w:rPr>
  </w:style>
  <w:style w:type="paragraph" w:styleId="berschrift9">
    <w:name w:val="heading 9"/>
    <w:basedOn w:val="Standard"/>
    <w:next w:val="Standard"/>
    <w:qFormat/>
    <w:pPr>
      <w:keepNext/>
      <w:keepLines/>
      <w:numPr>
        <w:ilvl w:val="8"/>
        <w:numId w:val="1"/>
      </w:numPr>
      <w:spacing w:after="0" w:line="256" w:lineRule="auto"/>
      <w:outlineLvl w:val="8"/>
    </w:pPr>
    <w:rPr>
      <w:rFonts w:eastAsia="Times New Roman"/>
      <w:color w:val="272727"/>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Aptos Display" w:eastAsia="Times New Roman" w:hAnsi="Aptos Display" w:cs="Times New Roman"/>
      <w:color w:val="0F4761"/>
      <w:sz w:val="40"/>
      <w:szCs w:val="40"/>
    </w:rPr>
  </w:style>
  <w:style w:type="character" w:customStyle="1" w:styleId="berschrift2Zchn">
    <w:name w:val="Überschrift 2 Zchn"/>
    <w:basedOn w:val="Absatz-Standardschriftart"/>
    <w:qFormat/>
    <w:rPr>
      <w:rFonts w:ascii="Aptos Display" w:eastAsia="Times New Roman" w:hAnsi="Aptos Display" w:cs="Times New Roman"/>
      <w:color w:val="0F4761"/>
      <w:sz w:val="32"/>
      <w:szCs w:val="32"/>
    </w:rPr>
  </w:style>
  <w:style w:type="character" w:customStyle="1" w:styleId="berschrift3Zchn">
    <w:name w:val="Überschrift 3 Zchn"/>
    <w:basedOn w:val="Absatz-Standardschriftart"/>
    <w:qFormat/>
    <w:rPr>
      <w:rFonts w:eastAsia="Times New Roman" w:cs="Times New Roman"/>
      <w:color w:val="0F4761"/>
      <w:sz w:val="28"/>
      <w:szCs w:val="28"/>
    </w:rPr>
  </w:style>
  <w:style w:type="character" w:customStyle="1" w:styleId="berschrift4Zchn">
    <w:name w:val="Überschrift 4 Zchn"/>
    <w:basedOn w:val="Absatz-Standardschriftart"/>
    <w:qFormat/>
    <w:rPr>
      <w:rFonts w:eastAsia="Times New Roman" w:cs="Times New Roman"/>
      <w:i/>
      <w:iCs/>
      <w:color w:val="0F4761"/>
    </w:rPr>
  </w:style>
  <w:style w:type="character" w:customStyle="1" w:styleId="berschrift5Zchn">
    <w:name w:val="Überschrift 5 Zchn"/>
    <w:basedOn w:val="Absatz-Standardschriftart"/>
    <w:qFormat/>
    <w:rPr>
      <w:rFonts w:eastAsia="Times New Roman" w:cs="Times New Roman"/>
      <w:color w:val="0F4761"/>
    </w:rPr>
  </w:style>
  <w:style w:type="character" w:customStyle="1" w:styleId="berschrift6Zchn">
    <w:name w:val="Überschrift 6 Zchn"/>
    <w:basedOn w:val="Absatz-Standardschriftart"/>
    <w:qFormat/>
    <w:rPr>
      <w:rFonts w:eastAsia="Times New Roman" w:cs="Times New Roman"/>
      <w:i/>
      <w:iCs/>
      <w:color w:val="595959"/>
    </w:rPr>
  </w:style>
  <w:style w:type="character" w:customStyle="1" w:styleId="berschrift7Zchn">
    <w:name w:val="Überschrift 7 Zchn"/>
    <w:basedOn w:val="Absatz-Standardschriftart"/>
    <w:qFormat/>
    <w:rPr>
      <w:rFonts w:eastAsia="Times New Roman" w:cs="Times New Roman"/>
      <w:color w:val="595959"/>
    </w:rPr>
  </w:style>
  <w:style w:type="character" w:customStyle="1" w:styleId="berschrift8Zchn">
    <w:name w:val="Überschrift 8 Zchn"/>
    <w:basedOn w:val="Absatz-Standardschriftart"/>
    <w:qFormat/>
    <w:rPr>
      <w:rFonts w:eastAsia="Times New Roman" w:cs="Times New Roman"/>
      <w:i/>
      <w:iCs/>
      <w:color w:val="272727"/>
    </w:rPr>
  </w:style>
  <w:style w:type="character" w:customStyle="1" w:styleId="berschrift9Zchn">
    <w:name w:val="Überschrift 9 Zchn"/>
    <w:basedOn w:val="Absatz-Standardschriftart"/>
    <w:qFormat/>
    <w:rPr>
      <w:rFonts w:eastAsia="Times New Roman" w:cs="Times New Roman"/>
      <w:color w:val="272727"/>
    </w:rPr>
  </w:style>
  <w:style w:type="character" w:customStyle="1" w:styleId="TitelZchn">
    <w:name w:val="Titel Zchn"/>
    <w:basedOn w:val="Absatz-Standardschriftart"/>
    <w:qFormat/>
    <w:rPr>
      <w:rFonts w:ascii="Aptos Display" w:eastAsia="Times New Roman" w:hAnsi="Aptos Display" w:cs="Times New Roman"/>
      <w:spacing w:val="-10"/>
      <w:kern w:val="2"/>
      <w:sz w:val="56"/>
      <w:szCs w:val="56"/>
    </w:rPr>
  </w:style>
  <w:style w:type="character" w:customStyle="1" w:styleId="UntertitelZchn">
    <w:name w:val="Untertitel Zchn"/>
    <w:basedOn w:val="Absatz-Standardschriftart"/>
    <w:qFormat/>
    <w:rPr>
      <w:rFonts w:eastAsia="Times New Roman" w:cs="Times New Roman"/>
      <w:color w:val="595959"/>
      <w:spacing w:val="15"/>
      <w:sz w:val="28"/>
      <w:szCs w:val="28"/>
    </w:rPr>
  </w:style>
  <w:style w:type="character" w:customStyle="1" w:styleId="ZitatZchn">
    <w:name w:val="Zitat Zchn"/>
    <w:basedOn w:val="Absatz-Standardschriftart"/>
    <w:qFormat/>
    <w:rPr>
      <w:i/>
      <w:iCs/>
      <w:color w:val="404040"/>
    </w:rPr>
  </w:style>
  <w:style w:type="character" w:styleId="IntensiveHervorhebung">
    <w:name w:val="Intense Emphasis"/>
    <w:basedOn w:val="Absatz-Standardschriftart"/>
    <w:qFormat/>
    <w:rPr>
      <w:i/>
      <w:iCs/>
      <w:color w:val="0F4761"/>
    </w:rPr>
  </w:style>
  <w:style w:type="character" w:customStyle="1" w:styleId="IntensivesZitatZchn">
    <w:name w:val="Intensives Zitat Zchn"/>
    <w:basedOn w:val="Absatz-Standardschriftart"/>
    <w:qFormat/>
    <w:rPr>
      <w:i/>
      <w:iCs/>
      <w:color w:val="0F4761"/>
    </w:rPr>
  </w:style>
  <w:style w:type="character" w:styleId="IntensiverVerweis">
    <w:name w:val="Intense Reference"/>
    <w:basedOn w:val="Absatz-Standardschriftart"/>
    <w:qFormat/>
    <w:rPr>
      <w:b/>
      <w:bCs/>
      <w:smallCaps/>
      <w:color w:val="0F4761"/>
      <w:spacing w:val="5"/>
    </w:rPr>
  </w:style>
  <w:style w:type="character" w:customStyle="1" w:styleId="articletext1">
    <w:name w:val="articletext1"/>
    <w:basedOn w:val="Absatz-Standardschriftart"/>
    <w:qFormat/>
    <w:rPr>
      <w:rFonts w:ascii="Verdana" w:hAnsi="Verdana"/>
      <w:b w:val="0"/>
      <w:bCs w:val="0"/>
      <w:color w:val="000000"/>
      <w:sz w:val="24"/>
      <w:szCs w:val="24"/>
    </w:rPr>
  </w:style>
  <w:style w:type="character" w:customStyle="1" w:styleId="Internetverknpfung">
    <w:name w:val="Internetverknüpfung"/>
    <w:rPr>
      <w:color w:val="000080"/>
      <w:u w:val="single"/>
    </w:rPr>
  </w:style>
  <w:style w:type="character" w:styleId="Hyperlink">
    <w:name w:val="Hyperlink"/>
    <w:basedOn w:val="Absatz-Standardschriftart"/>
    <w:qFormat/>
    <w:rPr>
      <w:color w:val="467886"/>
      <w:u w:val="single"/>
    </w:rPr>
  </w:style>
  <w:style w:type="character" w:styleId="NichtaufgelsteErwhnung">
    <w:name w:val="Unresolved Mention"/>
    <w:basedOn w:val="Absatz-Standardschriftart"/>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S Gothic" w:hAnsi="Liberation Sans" w:cs="Tahoma"/>
      <w:sz w:val="28"/>
      <w:szCs w:val="28"/>
    </w:rPr>
  </w:style>
  <w:style w:type="paragraph" w:styleId="Textkrper">
    <w:name w:val="Body Text"/>
    <w:basedOn w:val="Standard"/>
    <w:pPr>
      <w:spacing w:after="140"/>
    </w:pPr>
  </w:style>
  <w:style w:type="paragraph" w:styleId="Titel">
    <w:name w:val="Title"/>
    <w:basedOn w:val="Standard"/>
    <w:next w:val="Standard"/>
    <w:uiPriority w:val="10"/>
    <w:qFormat/>
    <w:pPr>
      <w:spacing w:after="80" w:line="240" w:lineRule="auto"/>
      <w:contextualSpacing/>
    </w:pPr>
    <w:rPr>
      <w:rFonts w:ascii="Aptos Display" w:eastAsia="Times New Roman" w:hAnsi="Aptos Display"/>
      <w:spacing w:val="-10"/>
      <w:kern w:val="2"/>
      <w:sz w:val="56"/>
      <w:szCs w:val="56"/>
    </w:rPr>
  </w:style>
  <w:style w:type="paragraph" w:styleId="Untertitel">
    <w:name w:val="Subtitle"/>
    <w:basedOn w:val="Standard"/>
    <w:next w:val="Standard"/>
    <w:uiPriority w:val="11"/>
    <w:qFormat/>
    <w:pPr>
      <w:spacing w:after="160" w:line="256" w:lineRule="auto"/>
    </w:pPr>
    <w:rPr>
      <w:rFonts w:eastAsia="Times New Roman"/>
      <w:color w:val="595959"/>
      <w:spacing w:val="15"/>
      <w:kern w:val="2"/>
      <w:sz w:val="28"/>
      <w:szCs w:val="28"/>
    </w:rPr>
  </w:style>
  <w:style w:type="paragraph" w:styleId="Zitat">
    <w:name w:val="Quote"/>
    <w:basedOn w:val="Standard"/>
    <w:next w:val="Standard"/>
    <w:qFormat/>
    <w:pPr>
      <w:spacing w:before="160" w:after="160" w:line="256" w:lineRule="auto"/>
      <w:jc w:val="center"/>
    </w:pPr>
    <w:rPr>
      <w:i/>
      <w:iCs/>
      <w:color w:val="404040"/>
      <w:kern w:val="2"/>
    </w:rPr>
  </w:style>
  <w:style w:type="paragraph" w:styleId="Listenabsatz">
    <w:name w:val="List Paragraph"/>
    <w:basedOn w:val="Standard"/>
    <w:qFormat/>
    <w:pPr>
      <w:spacing w:after="160" w:line="256" w:lineRule="auto"/>
      <w:ind w:left="720"/>
      <w:contextualSpacing/>
    </w:pPr>
    <w:rPr>
      <w:kern w:val="2"/>
    </w:rPr>
  </w:style>
  <w:style w:type="paragraph" w:styleId="IntensivesZitat">
    <w:name w:val="Intense Quote"/>
    <w:basedOn w:val="Standard"/>
    <w:next w:val="Standard"/>
    <w:qFormat/>
    <w:pPr>
      <w:pBdr>
        <w:top w:val="single" w:sz="4" w:space="10" w:color="0F4761"/>
        <w:bottom w:val="single" w:sz="4" w:space="10" w:color="0F4761"/>
      </w:pBdr>
      <w:spacing w:before="360" w:after="360" w:line="256" w:lineRule="auto"/>
      <w:ind w:left="864" w:right="864"/>
      <w:jc w:val="center"/>
    </w:pPr>
    <w:rPr>
      <w:i/>
      <w:iCs/>
      <w:color w:val="0F476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icarbon.de/" TargetMode="External"/><Relationship Id="rId5" Type="http://schemas.openxmlformats.org/officeDocument/2006/relationships/hyperlink" Target="http://www.schwangerschaftundverstopfun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5339</Characters>
  <Application>Microsoft Office Word</Application>
  <DocSecurity>0</DocSecurity>
  <Lines>44</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Meyer-Meisner</dc:creator>
  <dc:description/>
  <cp:lastModifiedBy>Wolfgang Meyer-Meisner</cp:lastModifiedBy>
  <cp:revision>6</cp:revision>
  <dcterms:created xsi:type="dcterms:W3CDTF">2024-04-24T08:53:00Z</dcterms:created>
  <dcterms:modified xsi:type="dcterms:W3CDTF">2024-04-25T13:07:00Z</dcterms:modified>
  <dc:language>de-DE</dc:language>
</cp:coreProperties>
</file>